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A8" w:rsidRDefault="00F9053A" w:rsidP="006937F7">
      <w:pPr>
        <w:jc w:val="center"/>
        <w:rPr>
          <w:sz w:val="28"/>
          <w:szCs w:val="28"/>
        </w:rPr>
      </w:pPr>
      <w:r w:rsidRPr="00407622">
        <w:rPr>
          <w:sz w:val="28"/>
          <w:szCs w:val="28"/>
        </w:rPr>
        <w:t>ATELIER SUR LA PRÉPARATION DE QUESTIONS</w:t>
      </w:r>
    </w:p>
    <w:p w:rsidR="00D86B9E" w:rsidRPr="002D00A8" w:rsidRDefault="00450B78" w:rsidP="006937F7">
      <w:pPr>
        <w:jc w:val="center"/>
        <w:rPr>
          <w:b/>
          <w:sz w:val="28"/>
          <w:szCs w:val="28"/>
        </w:rPr>
      </w:pPr>
      <w:r w:rsidRPr="002D00A8">
        <w:rPr>
          <w:b/>
          <w:sz w:val="28"/>
          <w:szCs w:val="28"/>
        </w:rPr>
        <w:t>Analyser, Synthétiser, Reformuler</w:t>
      </w:r>
    </w:p>
    <w:p w:rsidR="00F9053A" w:rsidRPr="002D00A8" w:rsidRDefault="00F9053A" w:rsidP="006937F7">
      <w:pPr>
        <w:jc w:val="both"/>
        <w:rPr>
          <w:b/>
          <w:sz w:val="28"/>
          <w:szCs w:val="28"/>
        </w:rPr>
      </w:pPr>
    </w:p>
    <w:p w:rsidR="00407622" w:rsidRDefault="00407622" w:rsidP="006937F7">
      <w:pPr>
        <w:jc w:val="both"/>
        <w:rPr>
          <w:sz w:val="28"/>
          <w:szCs w:val="28"/>
        </w:rPr>
      </w:pPr>
      <w:r w:rsidRPr="00407622">
        <w:rPr>
          <w:sz w:val="28"/>
          <w:szCs w:val="28"/>
        </w:rPr>
        <w:t xml:space="preserve">DURÉE : </w:t>
      </w:r>
    </w:p>
    <w:p w:rsidR="00450B78" w:rsidRDefault="00450B78" w:rsidP="006937F7">
      <w:pPr>
        <w:jc w:val="both"/>
        <w:rPr>
          <w:sz w:val="28"/>
          <w:szCs w:val="28"/>
        </w:rPr>
      </w:pPr>
    </w:p>
    <w:p w:rsidR="00493CE5" w:rsidRDefault="00493CE5" w:rsidP="006937F7">
      <w:pPr>
        <w:jc w:val="both"/>
        <w:rPr>
          <w:sz w:val="28"/>
          <w:szCs w:val="28"/>
        </w:rPr>
      </w:pPr>
      <w:r>
        <w:rPr>
          <w:sz w:val="28"/>
          <w:szCs w:val="28"/>
        </w:rPr>
        <w:t>NOMBRE DE QUESTIONS </w:t>
      </w:r>
      <w:r w:rsidR="00800128">
        <w:rPr>
          <w:sz w:val="28"/>
          <w:szCs w:val="28"/>
        </w:rPr>
        <w:t xml:space="preserve">: </w:t>
      </w:r>
      <w:r w:rsidR="00450B78">
        <w:rPr>
          <w:sz w:val="28"/>
          <w:szCs w:val="28"/>
        </w:rPr>
        <w:t>R</w:t>
      </w:r>
      <w:r>
        <w:rPr>
          <w:sz w:val="28"/>
          <w:szCs w:val="28"/>
        </w:rPr>
        <w:t xml:space="preserve">ecueillir environ </w:t>
      </w:r>
      <w:r w:rsidR="00450B78">
        <w:rPr>
          <w:sz w:val="28"/>
          <w:szCs w:val="28"/>
        </w:rPr>
        <w:t>de 3 à 4 questions par ateliers</w:t>
      </w:r>
    </w:p>
    <w:p w:rsidR="00450B78" w:rsidRDefault="00450B78" w:rsidP="006937F7">
      <w:pPr>
        <w:jc w:val="both"/>
        <w:rPr>
          <w:sz w:val="28"/>
          <w:szCs w:val="28"/>
        </w:rPr>
      </w:pPr>
    </w:p>
    <w:p w:rsidR="00407622" w:rsidRPr="00407622" w:rsidRDefault="00407622" w:rsidP="006937F7">
      <w:pPr>
        <w:jc w:val="both"/>
        <w:rPr>
          <w:sz w:val="28"/>
          <w:szCs w:val="28"/>
        </w:rPr>
      </w:pPr>
      <w:r>
        <w:rPr>
          <w:sz w:val="28"/>
          <w:szCs w:val="28"/>
        </w:rPr>
        <w:t>RÉSULTATS : À la fin de l’</w:t>
      </w:r>
      <w:r w:rsidR="00FF539C">
        <w:rPr>
          <w:sz w:val="28"/>
          <w:szCs w:val="28"/>
        </w:rPr>
        <w:t>atelier,</w:t>
      </w:r>
      <w:r>
        <w:rPr>
          <w:sz w:val="28"/>
          <w:szCs w:val="28"/>
        </w:rPr>
        <w:t xml:space="preserve"> les animateurs</w:t>
      </w:r>
      <w:r w:rsidR="00450B78">
        <w:rPr>
          <w:sz w:val="28"/>
          <w:szCs w:val="28"/>
        </w:rPr>
        <w:t xml:space="preserve"> se concertent rapidement, éliminent les duplications et </w:t>
      </w:r>
      <w:r>
        <w:rPr>
          <w:sz w:val="28"/>
          <w:szCs w:val="28"/>
        </w:rPr>
        <w:t xml:space="preserve"> transcrivent les questions retenues sur des fiches et les remettent à M. Bureau.</w:t>
      </w:r>
    </w:p>
    <w:p w:rsidR="00F9053A" w:rsidRPr="00407622" w:rsidRDefault="00F9053A" w:rsidP="006937F7">
      <w:pPr>
        <w:jc w:val="both"/>
        <w:rPr>
          <w:sz w:val="28"/>
          <w:szCs w:val="28"/>
        </w:rPr>
      </w:pPr>
    </w:p>
    <w:p w:rsidR="00ED700C" w:rsidRPr="002D00A8" w:rsidRDefault="00ED700C" w:rsidP="002D00A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2D00A8">
        <w:rPr>
          <w:sz w:val="28"/>
          <w:szCs w:val="28"/>
        </w:rPr>
        <w:t>Rappeler que l’objectif de l’atelier est d’accroître les connaissances des participants sur le contenu lié à la grande question de la fin de vie.</w:t>
      </w:r>
      <w:r w:rsidR="00407622" w:rsidRPr="002D00A8">
        <w:rPr>
          <w:sz w:val="28"/>
          <w:szCs w:val="28"/>
        </w:rPr>
        <w:t xml:space="preserve">  </w:t>
      </w:r>
      <w:r w:rsidR="00450B78" w:rsidRPr="002D00A8">
        <w:rPr>
          <w:sz w:val="28"/>
          <w:szCs w:val="28"/>
        </w:rPr>
        <w:t>D’i</w:t>
      </w:r>
      <w:r w:rsidR="00407622" w:rsidRPr="002D00A8">
        <w:rPr>
          <w:sz w:val="28"/>
          <w:szCs w:val="28"/>
        </w:rPr>
        <w:t>nformer la personne afin qu’elle dispose de notions pour l’aider à prendre une décision libre et éclairée.</w:t>
      </w:r>
    </w:p>
    <w:p w:rsidR="006937F7" w:rsidRPr="00407622" w:rsidRDefault="006937F7" w:rsidP="006937F7">
      <w:pPr>
        <w:jc w:val="both"/>
        <w:rPr>
          <w:sz w:val="28"/>
          <w:szCs w:val="28"/>
        </w:rPr>
      </w:pPr>
    </w:p>
    <w:p w:rsidR="00ED700C" w:rsidRPr="002D00A8" w:rsidRDefault="00ED700C" w:rsidP="002D00A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2D00A8">
        <w:rPr>
          <w:sz w:val="28"/>
          <w:szCs w:val="28"/>
        </w:rPr>
        <w:t>Les témoignages de chacun sont précieux</w:t>
      </w:r>
      <w:r w:rsidR="006937F7" w:rsidRPr="002D00A8">
        <w:rPr>
          <w:sz w:val="28"/>
          <w:szCs w:val="28"/>
        </w:rPr>
        <w:t xml:space="preserve">, </w:t>
      </w:r>
      <w:r w:rsidR="00407622" w:rsidRPr="002D00A8">
        <w:rPr>
          <w:sz w:val="28"/>
          <w:szCs w:val="28"/>
        </w:rPr>
        <w:t>ils sont tous important</w:t>
      </w:r>
      <w:r w:rsidRPr="002D00A8">
        <w:rPr>
          <w:sz w:val="28"/>
          <w:szCs w:val="28"/>
        </w:rPr>
        <w:t>s. Cependant le but de cet atelier</w:t>
      </w:r>
      <w:r w:rsidR="00407622" w:rsidRPr="002D00A8">
        <w:rPr>
          <w:sz w:val="28"/>
          <w:szCs w:val="28"/>
        </w:rPr>
        <w:t xml:space="preserve"> très condensé</w:t>
      </w:r>
      <w:r w:rsidRPr="002D00A8">
        <w:rPr>
          <w:sz w:val="28"/>
          <w:szCs w:val="28"/>
        </w:rPr>
        <w:t xml:space="preserve"> est de recueillir des questions pouvant éclairés le plus</w:t>
      </w:r>
      <w:r w:rsidR="006937F7" w:rsidRPr="002D00A8">
        <w:rPr>
          <w:sz w:val="28"/>
          <w:szCs w:val="28"/>
        </w:rPr>
        <w:t xml:space="preserve"> grand nombre de participants et portant sur du contenu objectif. </w:t>
      </w:r>
      <w:r w:rsidRPr="002D00A8">
        <w:rPr>
          <w:sz w:val="28"/>
          <w:szCs w:val="28"/>
        </w:rPr>
        <w:t>Donc il faudra éviter que des questions</w:t>
      </w:r>
      <w:r w:rsidR="00450B78" w:rsidRPr="002D00A8">
        <w:rPr>
          <w:sz w:val="28"/>
          <w:szCs w:val="28"/>
        </w:rPr>
        <w:t xml:space="preserve"> portent sur des cas personnels.</w:t>
      </w:r>
    </w:p>
    <w:p w:rsidR="00ED700C" w:rsidRPr="00407622" w:rsidRDefault="00ED700C" w:rsidP="006937F7">
      <w:pPr>
        <w:jc w:val="both"/>
        <w:rPr>
          <w:sz w:val="28"/>
          <w:szCs w:val="28"/>
        </w:rPr>
      </w:pPr>
    </w:p>
    <w:p w:rsidR="006937F7" w:rsidRPr="002D00A8" w:rsidRDefault="006937F7" w:rsidP="002D00A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2D00A8">
        <w:rPr>
          <w:sz w:val="28"/>
          <w:szCs w:val="28"/>
        </w:rPr>
        <w:t xml:space="preserve">Rappeler aux gens </w:t>
      </w:r>
      <w:r w:rsidR="00407622" w:rsidRPr="002D00A8">
        <w:rPr>
          <w:sz w:val="28"/>
          <w:szCs w:val="28"/>
        </w:rPr>
        <w:t>que s’ils ont d’autres</w:t>
      </w:r>
      <w:r w:rsidR="00ED700C" w:rsidRPr="002D00A8">
        <w:rPr>
          <w:sz w:val="28"/>
          <w:szCs w:val="28"/>
        </w:rPr>
        <w:t xml:space="preserve"> questions</w:t>
      </w:r>
      <w:r w:rsidR="00407622" w:rsidRPr="002D00A8">
        <w:rPr>
          <w:sz w:val="28"/>
          <w:szCs w:val="28"/>
        </w:rPr>
        <w:t xml:space="preserve">, ils </w:t>
      </w:r>
      <w:r w:rsidRPr="002D00A8">
        <w:rPr>
          <w:sz w:val="28"/>
          <w:szCs w:val="28"/>
        </w:rPr>
        <w:t>pourront</w:t>
      </w:r>
      <w:r w:rsidR="002D00A8">
        <w:rPr>
          <w:sz w:val="28"/>
          <w:szCs w:val="28"/>
        </w:rPr>
        <w:t xml:space="preserve"> les</w:t>
      </w:r>
      <w:r w:rsidRPr="002D00A8">
        <w:rPr>
          <w:sz w:val="28"/>
          <w:szCs w:val="28"/>
        </w:rPr>
        <w:t xml:space="preserve"> </w:t>
      </w:r>
      <w:r w:rsidR="00407622" w:rsidRPr="002D00A8">
        <w:rPr>
          <w:sz w:val="28"/>
          <w:szCs w:val="28"/>
        </w:rPr>
        <w:t>poser</w:t>
      </w:r>
      <w:r w:rsidRPr="002D00A8">
        <w:rPr>
          <w:sz w:val="28"/>
          <w:szCs w:val="28"/>
        </w:rPr>
        <w:t xml:space="preserve"> </w:t>
      </w:r>
      <w:r w:rsidR="002D00A8">
        <w:rPr>
          <w:sz w:val="28"/>
          <w:szCs w:val="28"/>
        </w:rPr>
        <w:t>directement</w:t>
      </w:r>
      <w:r w:rsidRPr="002D00A8">
        <w:rPr>
          <w:sz w:val="28"/>
          <w:szCs w:val="28"/>
        </w:rPr>
        <w:t xml:space="preserve"> pendant la dernière demi-heure de la </w:t>
      </w:r>
      <w:r w:rsidR="00407622" w:rsidRPr="002D00A8">
        <w:rPr>
          <w:sz w:val="28"/>
          <w:szCs w:val="28"/>
        </w:rPr>
        <w:t xml:space="preserve">rencontre lors de la période </w:t>
      </w:r>
      <w:r w:rsidRPr="002D00A8">
        <w:rPr>
          <w:sz w:val="28"/>
          <w:szCs w:val="28"/>
        </w:rPr>
        <w:t xml:space="preserve">d’échanges </w:t>
      </w:r>
      <w:r w:rsidR="00407622" w:rsidRPr="002D00A8">
        <w:rPr>
          <w:sz w:val="28"/>
          <w:szCs w:val="28"/>
        </w:rPr>
        <w:t>avec le conférencier.</w:t>
      </w:r>
    </w:p>
    <w:p w:rsidR="00ED700C" w:rsidRPr="00407622" w:rsidRDefault="00ED700C" w:rsidP="006937F7">
      <w:pPr>
        <w:jc w:val="both"/>
        <w:rPr>
          <w:sz w:val="28"/>
          <w:szCs w:val="28"/>
        </w:rPr>
      </w:pPr>
    </w:p>
    <w:p w:rsidR="00ED700C" w:rsidRPr="002D00A8" w:rsidRDefault="006937F7" w:rsidP="002D00A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2D00A8">
        <w:rPr>
          <w:sz w:val="28"/>
          <w:szCs w:val="28"/>
        </w:rPr>
        <w:t>Concernant les questions qui porteraient sur des éléments très précis relevant davantage de l’expertise d’un notaire, d’</w:t>
      </w:r>
      <w:r w:rsidR="00493CE5" w:rsidRPr="002D00A8">
        <w:rPr>
          <w:sz w:val="28"/>
          <w:szCs w:val="28"/>
        </w:rPr>
        <w:t xml:space="preserve">un avocat, ou de spécialistes ou d’établissements du réseau de la santé, </w:t>
      </w:r>
      <w:r w:rsidRPr="002D00A8">
        <w:rPr>
          <w:sz w:val="28"/>
          <w:szCs w:val="28"/>
        </w:rPr>
        <w:t xml:space="preserve">demander aux personnes de consigner les contenus souhaités dans le formulaire d’évaluation de la rencontre, afin que le Collectif </w:t>
      </w:r>
      <w:r w:rsidR="00FF539C">
        <w:rPr>
          <w:sz w:val="28"/>
          <w:szCs w:val="28"/>
        </w:rPr>
        <w:t>puisse</w:t>
      </w:r>
      <w:r w:rsidRPr="002D00A8">
        <w:rPr>
          <w:sz w:val="28"/>
          <w:szCs w:val="28"/>
        </w:rPr>
        <w:t xml:space="preserve"> colliger les suggestions pour organiser d’autres ateliers sur les sujets qui suscitent le plus d’intérêt.</w:t>
      </w:r>
      <w:r w:rsidR="00493CE5" w:rsidRPr="002D00A8">
        <w:rPr>
          <w:sz w:val="28"/>
          <w:szCs w:val="28"/>
        </w:rPr>
        <w:t xml:space="preserve"> </w:t>
      </w:r>
    </w:p>
    <w:p w:rsidR="00ED700C" w:rsidRDefault="00ED700C" w:rsidP="006937F7">
      <w:pPr>
        <w:jc w:val="both"/>
        <w:rPr>
          <w:sz w:val="24"/>
          <w:szCs w:val="24"/>
        </w:rPr>
      </w:pPr>
    </w:p>
    <w:p w:rsidR="00A51C9C" w:rsidRDefault="00A51C9C">
      <w:pPr>
        <w:rPr>
          <w:sz w:val="24"/>
          <w:szCs w:val="24"/>
        </w:rPr>
      </w:pPr>
    </w:p>
    <w:p w:rsidR="00450B78" w:rsidRDefault="00450B78">
      <w:pPr>
        <w:rPr>
          <w:sz w:val="24"/>
          <w:szCs w:val="24"/>
        </w:rPr>
      </w:pPr>
    </w:p>
    <w:p w:rsidR="00407622" w:rsidRDefault="00407622" w:rsidP="006937F7">
      <w:pPr>
        <w:jc w:val="both"/>
        <w:rPr>
          <w:sz w:val="24"/>
          <w:szCs w:val="24"/>
        </w:rPr>
      </w:pPr>
    </w:p>
    <w:tbl>
      <w:tblPr>
        <w:tblStyle w:val="Grilledutableau"/>
        <w:tblW w:w="13770" w:type="dxa"/>
        <w:tblInd w:w="-162" w:type="dxa"/>
        <w:tblLook w:val="04A0"/>
      </w:tblPr>
      <w:tblGrid>
        <w:gridCol w:w="1980"/>
        <w:gridCol w:w="2790"/>
        <w:gridCol w:w="3150"/>
        <w:gridCol w:w="5850"/>
      </w:tblGrid>
      <w:tr w:rsidR="00D86B9E" w:rsidRPr="00ED700C" w:rsidTr="00407622">
        <w:tc>
          <w:tcPr>
            <w:tcW w:w="13770" w:type="dxa"/>
            <w:gridSpan w:val="4"/>
          </w:tcPr>
          <w:p w:rsidR="00D86B9E" w:rsidRPr="00ED700C" w:rsidRDefault="00407622" w:rsidP="00B30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VALEURS SOCIALES</w:t>
            </w:r>
            <w:r w:rsidR="00B307CB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MORALES</w:t>
            </w:r>
            <w:r w:rsidR="00B307CB">
              <w:rPr>
                <w:b/>
                <w:sz w:val="24"/>
                <w:szCs w:val="24"/>
              </w:rPr>
              <w:t>, ÉTHIQUES</w:t>
            </w:r>
            <w:r w:rsidR="00B51861">
              <w:rPr>
                <w:b/>
                <w:sz w:val="24"/>
                <w:szCs w:val="24"/>
              </w:rPr>
              <w:t>, RELIGIEUSES</w:t>
            </w:r>
          </w:p>
        </w:tc>
      </w:tr>
      <w:tr w:rsidR="00B307CB" w:rsidTr="00B51861">
        <w:tc>
          <w:tcPr>
            <w:tcW w:w="1980" w:type="dxa"/>
            <w:vMerge w:val="restart"/>
          </w:tcPr>
          <w:p w:rsidR="00B51861" w:rsidRDefault="00B51861" w:rsidP="00B51861">
            <w:pPr>
              <w:rPr>
                <w:sz w:val="24"/>
                <w:szCs w:val="24"/>
              </w:rPr>
            </w:pPr>
          </w:p>
          <w:p w:rsidR="00B307CB" w:rsidRDefault="00B307CB" w:rsidP="00B5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Pr="00B51861">
              <w:rPr>
                <w:b/>
                <w:sz w:val="28"/>
                <w:szCs w:val="28"/>
              </w:rPr>
              <w:t>VIE</w:t>
            </w:r>
            <w:r w:rsidRPr="00B51861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est sacrée</w:t>
            </w:r>
          </w:p>
        </w:tc>
        <w:tc>
          <w:tcPr>
            <w:tcW w:w="2790" w:type="dxa"/>
          </w:tcPr>
          <w:p w:rsidR="00B307CB" w:rsidRPr="00B307CB" w:rsidRDefault="00B307CB" w:rsidP="00B307CB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Éléments du rapport</w:t>
            </w:r>
          </w:p>
        </w:tc>
        <w:tc>
          <w:tcPr>
            <w:tcW w:w="3150" w:type="dxa"/>
          </w:tcPr>
          <w:p w:rsidR="00B307CB" w:rsidRPr="00B307CB" w:rsidRDefault="00B307CB" w:rsidP="00B307CB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Éléments de la conférence</w:t>
            </w:r>
          </w:p>
        </w:tc>
        <w:tc>
          <w:tcPr>
            <w:tcW w:w="5850" w:type="dxa"/>
          </w:tcPr>
          <w:p w:rsidR="00B307CB" w:rsidRPr="00B307CB" w:rsidRDefault="00B307CB" w:rsidP="00B307CB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Questions des participants</w:t>
            </w:r>
          </w:p>
        </w:tc>
      </w:tr>
      <w:tr w:rsidR="00B307CB" w:rsidTr="00A51C9C">
        <w:trPr>
          <w:trHeight w:val="1783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B307CB" w:rsidRDefault="00B307CB" w:rsidP="00693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307CB" w:rsidRPr="00B307CB" w:rsidRDefault="00B307CB" w:rsidP="00B307CB">
            <w:pPr>
              <w:jc w:val="both"/>
              <w:rPr>
                <w:sz w:val="24"/>
                <w:szCs w:val="24"/>
              </w:rPr>
            </w:pPr>
            <w:r w:rsidRPr="00B307CB">
              <w:rPr>
                <w:sz w:val="24"/>
                <w:szCs w:val="24"/>
              </w:rPr>
              <w:t>La dignité est un principe qui survit à la perte de liberté</w:t>
            </w:r>
          </w:p>
          <w:p w:rsidR="00B307CB" w:rsidRPr="00B307CB" w:rsidRDefault="00B307CB" w:rsidP="00B307CB">
            <w:pPr>
              <w:jc w:val="both"/>
              <w:rPr>
                <w:sz w:val="24"/>
                <w:szCs w:val="24"/>
              </w:rPr>
            </w:pPr>
          </w:p>
          <w:p w:rsidR="00B307CB" w:rsidRDefault="00B307CB" w:rsidP="00B307CB">
            <w:pPr>
              <w:jc w:val="both"/>
              <w:rPr>
                <w:sz w:val="24"/>
                <w:szCs w:val="24"/>
              </w:rPr>
            </w:pPr>
            <w:r w:rsidRPr="00B307CB">
              <w:rPr>
                <w:sz w:val="24"/>
                <w:szCs w:val="24"/>
              </w:rPr>
              <w:t>La dignité humaine est inaliénable</w:t>
            </w:r>
          </w:p>
          <w:p w:rsidR="00B51861" w:rsidRDefault="00B51861" w:rsidP="00B307CB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B307CB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B307CB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B307CB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B307CB">
            <w:pPr>
              <w:jc w:val="both"/>
              <w:rPr>
                <w:sz w:val="24"/>
                <w:szCs w:val="24"/>
              </w:rPr>
            </w:pPr>
          </w:p>
          <w:p w:rsidR="00B51861" w:rsidRPr="00B307CB" w:rsidRDefault="00B51861" w:rsidP="00B30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bottom w:val="single" w:sz="4" w:space="0" w:color="auto"/>
            </w:tcBorders>
          </w:tcPr>
          <w:p w:rsidR="00B307CB" w:rsidRDefault="00B307CB" w:rsidP="00B307CB">
            <w:pPr>
              <w:pStyle w:val="Paragraphedeliste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A51C9C">
              <w:rPr>
                <w:sz w:val="24"/>
                <w:szCs w:val="24"/>
              </w:rPr>
              <w:t>La socié</w:t>
            </w:r>
            <w:r w:rsidR="00450B78">
              <w:rPr>
                <w:sz w:val="24"/>
                <w:szCs w:val="24"/>
              </w:rPr>
              <w:t>té a changé; les valeurs aussi.</w:t>
            </w:r>
          </w:p>
          <w:p w:rsidR="00450B78" w:rsidRPr="00450B78" w:rsidRDefault="00450B78" w:rsidP="00450B78">
            <w:pPr>
              <w:rPr>
                <w:sz w:val="24"/>
                <w:szCs w:val="24"/>
              </w:rPr>
            </w:pPr>
          </w:p>
          <w:p w:rsidR="00B307CB" w:rsidRPr="00B307CB" w:rsidRDefault="00B307CB" w:rsidP="00B307CB">
            <w:pPr>
              <w:pStyle w:val="Paragraphedeliste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B307CB">
              <w:rPr>
                <w:sz w:val="24"/>
                <w:szCs w:val="24"/>
              </w:rPr>
              <w:t>Morale, éthique, liberté de conscience</w:t>
            </w:r>
          </w:p>
        </w:tc>
        <w:tc>
          <w:tcPr>
            <w:tcW w:w="5850" w:type="dxa"/>
            <w:vMerge w:val="restart"/>
            <w:tcBorders>
              <w:bottom w:val="single" w:sz="4" w:space="0" w:color="auto"/>
            </w:tcBorders>
          </w:tcPr>
          <w:p w:rsidR="00B307CB" w:rsidRDefault="00B307CB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A51C9C" w:rsidRDefault="00A51C9C" w:rsidP="006937F7">
            <w:pPr>
              <w:jc w:val="both"/>
              <w:rPr>
                <w:sz w:val="24"/>
                <w:szCs w:val="24"/>
              </w:rPr>
            </w:pPr>
          </w:p>
        </w:tc>
      </w:tr>
      <w:tr w:rsidR="00B307CB" w:rsidTr="00B51861">
        <w:tc>
          <w:tcPr>
            <w:tcW w:w="1980" w:type="dxa"/>
            <w:shd w:val="clear" w:color="auto" w:fill="EAF1DD" w:themeFill="accent3" w:themeFillTint="33"/>
          </w:tcPr>
          <w:p w:rsidR="00B307CB" w:rsidRPr="00B307CB" w:rsidRDefault="00B307CB" w:rsidP="006937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EAF1DD" w:themeFill="accent3" w:themeFillTint="33"/>
          </w:tcPr>
          <w:p w:rsidR="00B307CB" w:rsidRPr="00A51C9C" w:rsidRDefault="00B307CB" w:rsidP="00693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EAF1DD" w:themeFill="accent3" w:themeFillTint="33"/>
          </w:tcPr>
          <w:p w:rsidR="00B307CB" w:rsidRDefault="00B307CB" w:rsidP="00693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EAF1DD" w:themeFill="accent3" w:themeFillTint="33"/>
          </w:tcPr>
          <w:p w:rsidR="00B307CB" w:rsidRDefault="00B307CB" w:rsidP="006937F7">
            <w:pPr>
              <w:jc w:val="both"/>
              <w:rPr>
                <w:sz w:val="24"/>
                <w:szCs w:val="24"/>
              </w:rPr>
            </w:pPr>
          </w:p>
        </w:tc>
      </w:tr>
      <w:tr w:rsidR="00B307CB" w:rsidTr="00B51861">
        <w:tc>
          <w:tcPr>
            <w:tcW w:w="1980" w:type="dxa"/>
          </w:tcPr>
          <w:p w:rsidR="00B307CB" w:rsidRDefault="00B307CB" w:rsidP="00B5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Pr="00B51861">
              <w:rPr>
                <w:b/>
                <w:sz w:val="28"/>
                <w:szCs w:val="28"/>
              </w:rPr>
              <w:t>PERSONNE</w:t>
            </w:r>
            <w:r>
              <w:rPr>
                <w:sz w:val="24"/>
                <w:szCs w:val="24"/>
              </w:rPr>
              <w:t xml:space="preserve"> est sacrée</w:t>
            </w:r>
          </w:p>
        </w:tc>
        <w:tc>
          <w:tcPr>
            <w:tcW w:w="2790" w:type="dxa"/>
          </w:tcPr>
          <w:p w:rsidR="00B307CB" w:rsidRDefault="00B307CB" w:rsidP="00B307CB">
            <w:pPr>
              <w:jc w:val="both"/>
              <w:rPr>
                <w:sz w:val="24"/>
                <w:szCs w:val="24"/>
              </w:rPr>
            </w:pPr>
            <w:r w:rsidRPr="00B307CB">
              <w:rPr>
                <w:sz w:val="24"/>
                <w:szCs w:val="24"/>
              </w:rPr>
              <w:t>La dignité est associée au respect de l’autonomie de la personne</w:t>
            </w:r>
          </w:p>
          <w:p w:rsidR="00B307CB" w:rsidRPr="00B307CB" w:rsidRDefault="00B307CB" w:rsidP="00B307CB">
            <w:pPr>
              <w:jc w:val="both"/>
              <w:rPr>
                <w:sz w:val="24"/>
                <w:szCs w:val="24"/>
              </w:rPr>
            </w:pPr>
          </w:p>
          <w:p w:rsidR="00B307CB" w:rsidRPr="00B307CB" w:rsidRDefault="00B307CB" w:rsidP="00B307CB">
            <w:pPr>
              <w:jc w:val="both"/>
              <w:rPr>
                <w:sz w:val="24"/>
                <w:szCs w:val="24"/>
              </w:rPr>
            </w:pPr>
            <w:r w:rsidRPr="00B307CB">
              <w:rPr>
                <w:sz w:val="24"/>
                <w:szCs w:val="24"/>
              </w:rPr>
              <w:t>La dignité est tributaire du regard de la personne sur elle même</w:t>
            </w:r>
          </w:p>
        </w:tc>
        <w:tc>
          <w:tcPr>
            <w:tcW w:w="3150" w:type="dxa"/>
            <w:vMerge/>
          </w:tcPr>
          <w:p w:rsidR="00B307CB" w:rsidRDefault="00B307CB" w:rsidP="00B30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50" w:type="dxa"/>
            <w:vMerge/>
          </w:tcPr>
          <w:p w:rsidR="00B307CB" w:rsidRDefault="00B307CB" w:rsidP="006937F7">
            <w:pPr>
              <w:jc w:val="both"/>
              <w:rPr>
                <w:sz w:val="24"/>
                <w:szCs w:val="24"/>
              </w:rPr>
            </w:pPr>
          </w:p>
        </w:tc>
      </w:tr>
    </w:tbl>
    <w:p w:rsidR="00A51C9C" w:rsidRDefault="00A51C9C" w:rsidP="006937F7">
      <w:pPr>
        <w:jc w:val="both"/>
        <w:rPr>
          <w:sz w:val="24"/>
          <w:szCs w:val="24"/>
        </w:rPr>
      </w:pPr>
    </w:p>
    <w:p w:rsidR="00A51C9C" w:rsidRDefault="00A51C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6B9E" w:rsidRDefault="00D86B9E" w:rsidP="006937F7">
      <w:pPr>
        <w:jc w:val="both"/>
        <w:rPr>
          <w:sz w:val="24"/>
          <w:szCs w:val="24"/>
        </w:rPr>
      </w:pPr>
    </w:p>
    <w:tbl>
      <w:tblPr>
        <w:tblStyle w:val="Grilledutableau"/>
        <w:tblW w:w="13770" w:type="dxa"/>
        <w:tblInd w:w="-162" w:type="dxa"/>
        <w:tblLayout w:type="fixed"/>
        <w:tblLook w:val="04A0"/>
      </w:tblPr>
      <w:tblGrid>
        <w:gridCol w:w="3870"/>
        <w:gridCol w:w="4050"/>
        <w:gridCol w:w="5850"/>
      </w:tblGrid>
      <w:tr w:rsidR="00B307CB" w:rsidRPr="00407622" w:rsidTr="00450B78">
        <w:tc>
          <w:tcPr>
            <w:tcW w:w="7920" w:type="dxa"/>
            <w:gridSpan w:val="2"/>
          </w:tcPr>
          <w:p w:rsidR="00B307CB" w:rsidRPr="00407622" w:rsidRDefault="00B307CB" w:rsidP="00FF539C">
            <w:pPr>
              <w:jc w:val="both"/>
              <w:rPr>
                <w:b/>
                <w:sz w:val="24"/>
                <w:szCs w:val="24"/>
              </w:rPr>
            </w:pPr>
            <w:r w:rsidRPr="00407622">
              <w:rPr>
                <w:b/>
                <w:sz w:val="24"/>
                <w:szCs w:val="24"/>
              </w:rPr>
              <w:t xml:space="preserve">L’ASPECT </w:t>
            </w:r>
            <w:r w:rsidR="00FF539C">
              <w:rPr>
                <w:b/>
                <w:sz w:val="24"/>
                <w:szCs w:val="24"/>
              </w:rPr>
              <w:t>MÉDICAL</w:t>
            </w:r>
          </w:p>
        </w:tc>
        <w:tc>
          <w:tcPr>
            <w:tcW w:w="5850" w:type="dxa"/>
          </w:tcPr>
          <w:p w:rsidR="00B307CB" w:rsidRPr="00407622" w:rsidRDefault="00B307CB" w:rsidP="006937F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51861" w:rsidRPr="00D86B9E" w:rsidTr="00450B78">
        <w:tc>
          <w:tcPr>
            <w:tcW w:w="3870" w:type="dxa"/>
          </w:tcPr>
          <w:p w:rsidR="00B51861" w:rsidRPr="00B307CB" w:rsidRDefault="00B51861" w:rsidP="00952650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Éléments du rapport</w:t>
            </w:r>
          </w:p>
        </w:tc>
        <w:tc>
          <w:tcPr>
            <w:tcW w:w="4050" w:type="dxa"/>
          </w:tcPr>
          <w:p w:rsidR="00B51861" w:rsidRPr="00B307CB" w:rsidRDefault="00B51861" w:rsidP="00952650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Éléments de la conférence</w:t>
            </w:r>
          </w:p>
        </w:tc>
        <w:tc>
          <w:tcPr>
            <w:tcW w:w="5850" w:type="dxa"/>
          </w:tcPr>
          <w:p w:rsidR="00B51861" w:rsidRPr="00B307CB" w:rsidRDefault="00B51861" w:rsidP="00952650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Questions des participants</w:t>
            </w:r>
          </w:p>
        </w:tc>
      </w:tr>
      <w:tr w:rsidR="00B51861" w:rsidRPr="00D86B9E" w:rsidTr="00450B78">
        <w:trPr>
          <w:trHeight w:val="8496"/>
        </w:trPr>
        <w:tc>
          <w:tcPr>
            <w:tcW w:w="3870" w:type="dxa"/>
          </w:tcPr>
          <w:p w:rsidR="00B51861" w:rsidRDefault="00D96074" w:rsidP="0069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soins de fin de vie : bonifier ce qui existe :</w:t>
            </w:r>
          </w:p>
          <w:p w:rsidR="00D96074" w:rsidRDefault="00D96074" w:rsidP="006937F7">
            <w:pPr>
              <w:jc w:val="both"/>
              <w:rPr>
                <w:sz w:val="24"/>
                <w:szCs w:val="24"/>
              </w:rPr>
            </w:pPr>
          </w:p>
          <w:p w:rsidR="00D96074" w:rsidRDefault="00D96074" w:rsidP="0069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refus et l’arrêt de traitement </w:t>
            </w:r>
          </w:p>
          <w:p w:rsidR="00D96074" w:rsidRDefault="00D96074" w:rsidP="006937F7">
            <w:pPr>
              <w:jc w:val="both"/>
              <w:rPr>
                <w:sz w:val="24"/>
                <w:szCs w:val="24"/>
              </w:rPr>
            </w:pPr>
          </w:p>
          <w:p w:rsidR="00D96074" w:rsidRDefault="00D96074" w:rsidP="0069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soins </w:t>
            </w:r>
            <w:r w:rsidR="00FF539C">
              <w:rPr>
                <w:sz w:val="24"/>
                <w:szCs w:val="24"/>
              </w:rPr>
              <w:t>palliatifs</w:t>
            </w:r>
          </w:p>
          <w:p w:rsidR="00D96074" w:rsidRDefault="00D96074" w:rsidP="00D96074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L’accessibilité aux soins palliatifs</w:t>
            </w:r>
          </w:p>
          <w:p w:rsidR="00D96074" w:rsidRDefault="00D96074" w:rsidP="00D96074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L’offre dans le milieu naturel</w:t>
            </w:r>
          </w:p>
          <w:p w:rsidR="00D96074" w:rsidRDefault="00D96074" w:rsidP="00D96074">
            <w:pPr>
              <w:jc w:val="both"/>
              <w:rPr>
                <w:sz w:val="24"/>
                <w:szCs w:val="24"/>
              </w:rPr>
            </w:pPr>
          </w:p>
          <w:p w:rsidR="005E25C9" w:rsidRDefault="00D96074" w:rsidP="00D96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sédation palliative</w:t>
            </w:r>
            <w:r w:rsidR="005E25C9">
              <w:rPr>
                <w:sz w:val="24"/>
                <w:szCs w:val="24"/>
              </w:rPr>
              <w:t xml:space="preserve"> - Pratique complexe</w:t>
            </w:r>
          </w:p>
          <w:p w:rsidR="005E25C9" w:rsidRPr="005E25C9" w:rsidRDefault="005E25C9" w:rsidP="005E25C9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E25C9">
              <w:rPr>
                <w:sz w:val="24"/>
                <w:szCs w:val="24"/>
              </w:rPr>
              <w:t>Consentement</w:t>
            </w:r>
          </w:p>
          <w:p w:rsidR="005E25C9" w:rsidRPr="005E25C9" w:rsidRDefault="005E25C9" w:rsidP="005E25C9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E25C9">
              <w:rPr>
                <w:sz w:val="24"/>
                <w:szCs w:val="24"/>
              </w:rPr>
              <w:t>Altération de la conscience</w:t>
            </w:r>
          </w:p>
          <w:p w:rsidR="005E25C9" w:rsidRPr="005E25C9" w:rsidRDefault="005E25C9" w:rsidP="005E25C9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E25C9">
              <w:rPr>
                <w:sz w:val="24"/>
                <w:szCs w:val="24"/>
              </w:rPr>
              <w:t>Durée</w:t>
            </w:r>
          </w:p>
          <w:p w:rsidR="005E25C9" w:rsidRPr="005E25C9" w:rsidRDefault="005E25C9" w:rsidP="005E25C9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E25C9">
              <w:rPr>
                <w:sz w:val="24"/>
                <w:szCs w:val="24"/>
              </w:rPr>
              <w:t>Les souffrances psychologiques réfractaires</w:t>
            </w:r>
          </w:p>
          <w:p w:rsidR="00D96074" w:rsidRDefault="005E25C9" w:rsidP="005E25C9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E25C9">
              <w:rPr>
                <w:sz w:val="24"/>
                <w:szCs w:val="24"/>
              </w:rPr>
              <w:t>L’arrêt de l’hydratation et de l’alimentation artificielle</w:t>
            </w:r>
          </w:p>
          <w:p w:rsidR="005E25C9" w:rsidRPr="005E25C9" w:rsidRDefault="005E25C9" w:rsidP="005E25C9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  <w:p w:rsidR="00D96074" w:rsidRDefault="00D96074" w:rsidP="00D96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Sensibilisation des intervenants et de la population au caractère inéluctable de la mort et à l’approche des soins palliatifs.</w:t>
            </w:r>
          </w:p>
          <w:p w:rsidR="00D96074" w:rsidRDefault="00D96074" w:rsidP="00D96074">
            <w:pPr>
              <w:jc w:val="both"/>
              <w:rPr>
                <w:sz w:val="24"/>
                <w:szCs w:val="24"/>
              </w:rPr>
            </w:pPr>
          </w:p>
          <w:p w:rsidR="00D96074" w:rsidRPr="00D96074" w:rsidRDefault="00D96074" w:rsidP="00D96074">
            <w:pPr>
              <w:jc w:val="both"/>
              <w:rPr>
                <w:sz w:val="24"/>
                <w:szCs w:val="24"/>
              </w:rPr>
            </w:pPr>
          </w:p>
          <w:p w:rsidR="00D96074" w:rsidRPr="00D86B9E" w:rsidRDefault="00D96074" w:rsidP="00693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B51861" w:rsidRDefault="00B51861" w:rsidP="00450B78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50B78">
              <w:rPr>
                <w:sz w:val="24"/>
                <w:szCs w:val="24"/>
              </w:rPr>
              <w:t>Les soin</w:t>
            </w:r>
            <w:r w:rsidR="00450B78">
              <w:rPr>
                <w:sz w:val="24"/>
                <w:szCs w:val="24"/>
              </w:rPr>
              <w:t>s ont changé, se sont améliorés</w:t>
            </w:r>
          </w:p>
          <w:p w:rsidR="00450B78" w:rsidRPr="00450B78" w:rsidRDefault="00450B78" w:rsidP="00450B78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450B78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50B78">
              <w:rPr>
                <w:sz w:val="24"/>
                <w:szCs w:val="24"/>
              </w:rPr>
              <w:t>La médecine a changé.</w:t>
            </w:r>
          </w:p>
          <w:p w:rsidR="005E25C9" w:rsidRDefault="005E25C9" w:rsidP="005E25C9">
            <w:pPr>
              <w:jc w:val="both"/>
              <w:rPr>
                <w:sz w:val="24"/>
                <w:szCs w:val="24"/>
              </w:rPr>
            </w:pPr>
          </w:p>
          <w:p w:rsidR="005E25C9" w:rsidRDefault="005E25C9" w:rsidP="005E25C9">
            <w:pPr>
              <w:jc w:val="both"/>
              <w:rPr>
                <w:sz w:val="24"/>
                <w:szCs w:val="24"/>
              </w:rPr>
            </w:pPr>
          </w:p>
          <w:p w:rsidR="005E25C9" w:rsidRPr="005E25C9" w:rsidRDefault="005E25C9" w:rsidP="005E25C9">
            <w:pPr>
              <w:jc w:val="both"/>
              <w:rPr>
                <w:i/>
                <w:sz w:val="24"/>
                <w:szCs w:val="24"/>
              </w:rPr>
            </w:pPr>
            <w:r w:rsidRPr="005E25C9">
              <w:rPr>
                <w:i/>
                <w:sz w:val="24"/>
                <w:szCs w:val="24"/>
              </w:rPr>
              <w:t>La déontologie et l’éthique médicales ont accompli de grandes avancées. Ainsi, un nouvel esprit fait peu à peu son apparition : il faut savoir quand arrêter de soigner dans le but de guérir et quand commencer à prodiguer des soins palliatifs.</w:t>
            </w:r>
          </w:p>
          <w:p w:rsidR="005E25C9" w:rsidRPr="005E25C9" w:rsidRDefault="005E25C9" w:rsidP="005E25C9">
            <w:pPr>
              <w:jc w:val="both"/>
              <w:rPr>
                <w:i/>
                <w:sz w:val="24"/>
                <w:szCs w:val="24"/>
              </w:rPr>
            </w:pPr>
            <w:r w:rsidRPr="005E25C9">
              <w:rPr>
                <w:i/>
                <w:sz w:val="24"/>
                <w:szCs w:val="24"/>
              </w:rPr>
              <w:t xml:space="preserve">Le fait de poursuivre des traitements jugés futiles dans les circonstances ou, en d’autres mots, l’acharnement </w:t>
            </w:r>
            <w:r w:rsidR="00FF539C">
              <w:rPr>
                <w:i/>
                <w:sz w:val="24"/>
                <w:szCs w:val="24"/>
              </w:rPr>
              <w:t>thérapeutique</w:t>
            </w:r>
            <w:r w:rsidRPr="005E25C9">
              <w:rPr>
                <w:i/>
                <w:sz w:val="24"/>
                <w:szCs w:val="24"/>
              </w:rPr>
              <w:t xml:space="preserve"> est de moins en moins</w:t>
            </w:r>
          </w:p>
          <w:p w:rsidR="005E25C9" w:rsidRPr="005E25C9" w:rsidRDefault="005E25C9" w:rsidP="005E25C9">
            <w:pPr>
              <w:jc w:val="both"/>
              <w:rPr>
                <w:sz w:val="24"/>
                <w:szCs w:val="24"/>
              </w:rPr>
            </w:pPr>
            <w:r w:rsidRPr="005E25C9">
              <w:rPr>
                <w:i/>
                <w:sz w:val="24"/>
                <w:szCs w:val="24"/>
              </w:rPr>
              <w:t>accepté.</w:t>
            </w:r>
          </w:p>
        </w:tc>
        <w:tc>
          <w:tcPr>
            <w:tcW w:w="5850" w:type="dxa"/>
          </w:tcPr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6937F7">
            <w:pPr>
              <w:jc w:val="both"/>
              <w:rPr>
                <w:sz w:val="24"/>
                <w:szCs w:val="24"/>
              </w:rPr>
            </w:pPr>
          </w:p>
          <w:p w:rsidR="00B51861" w:rsidRPr="00D86B9E" w:rsidRDefault="00B51861" w:rsidP="006937F7">
            <w:pPr>
              <w:jc w:val="both"/>
              <w:rPr>
                <w:sz w:val="24"/>
                <w:szCs w:val="24"/>
              </w:rPr>
            </w:pPr>
          </w:p>
        </w:tc>
      </w:tr>
    </w:tbl>
    <w:p w:rsidR="00A51C9C" w:rsidRDefault="00A51C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Grilledutableau"/>
        <w:tblW w:w="13680" w:type="dxa"/>
        <w:tblInd w:w="-162" w:type="dxa"/>
        <w:tblLook w:val="04A0"/>
      </w:tblPr>
      <w:tblGrid>
        <w:gridCol w:w="3870"/>
        <w:gridCol w:w="4050"/>
        <w:gridCol w:w="5760"/>
      </w:tblGrid>
      <w:tr w:rsidR="005E25C9" w:rsidRPr="00407622" w:rsidTr="00FD1FCC">
        <w:tc>
          <w:tcPr>
            <w:tcW w:w="13680" w:type="dxa"/>
            <w:gridSpan w:val="3"/>
          </w:tcPr>
          <w:p w:rsidR="005E25C9" w:rsidRPr="00B51861" w:rsidRDefault="00137418" w:rsidP="00FD1F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L’AIDE MÉDICALE A MOURIR</w:t>
            </w:r>
          </w:p>
        </w:tc>
      </w:tr>
      <w:tr w:rsidR="005E25C9" w:rsidRPr="00D86B9E" w:rsidTr="00FD1FCC">
        <w:tc>
          <w:tcPr>
            <w:tcW w:w="3870" w:type="dxa"/>
          </w:tcPr>
          <w:p w:rsidR="005E25C9" w:rsidRPr="00B307CB" w:rsidRDefault="005E25C9" w:rsidP="00FD1FCC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Éléments du rapport</w:t>
            </w:r>
          </w:p>
        </w:tc>
        <w:tc>
          <w:tcPr>
            <w:tcW w:w="4050" w:type="dxa"/>
          </w:tcPr>
          <w:p w:rsidR="005E25C9" w:rsidRPr="00B307CB" w:rsidRDefault="005E25C9" w:rsidP="00FD1FCC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Éléments de la conférence</w:t>
            </w:r>
          </w:p>
        </w:tc>
        <w:tc>
          <w:tcPr>
            <w:tcW w:w="5760" w:type="dxa"/>
          </w:tcPr>
          <w:p w:rsidR="005E25C9" w:rsidRPr="00B307CB" w:rsidRDefault="005E25C9" w:rsidP="00FD1FCC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Questions des participants</w:t>
            </w:r>
          </w:p>
        </w:tc>
      </w:tr>
      <w:tr w:rsidR="005E25C9" w:rsidRPr="00D86B9E" w:rsidTr="00FD1FCC">
        <w:trPr>
          <w:trHeight w:val="8360"/>
        </w:trPr>
        <w:tc>
          <w:tcPr>
            <w:tcW w:w="3870" w:type="dxa"/>
          </w:tcPr>
          <w:p w:rsidR="005E25C9" w:rsidRDefault="005E25C9" w:rsidP="00FD1FCC">
            <w:pPr>
              <w:jc w:val="both"/>
              <w:rPr>
                <w:sz w:val="24"/>
                <w:szCs w:val="24"/>
              </w:rPr>
            </w:pPr>
          </w:p>
          <w:p w:rsidR="00137418" w:rsidRPr="00137418" w:rsidRDefault="00137418" w:rsidP="00137418">
            <w:pPr>
              <w:jc w:val="both"/>
              <w:rPr>
                <w:sz w:val="24"/>
                <w:szCs w:val="24"/>
              </w:rPr>
            </w:pPr>
            <w:r w:rsidRPr="00137418">
              <w:rPr>
                <w:sz w:val="24"/>
                <w:szCs w:val="24"/>
              </w:rPr>
              <w:t>La compatibilité avec l’évolution des valeurs sociales, de la médecine</w:t>
            </w: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  <w:r w:rsidRPr="00137418">
              <w:rPr>
                <w:sz w:val="24"/>
                <w:szCs w:val="24"/>
              </w:rPr>
              <w:t>et du droit</w:t>
            </w: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</w:p>
          <w:p w:rsidR="00137418" w:rsidRPr="00137418" w:rsidRDefault="00137418" w:rsidP="00137418">
            <w:pPr>
              <w:jc w:val="both"/>
              <w:rPr>
                <w:sz w:val="24"/>
                <w:szCs w:val="24"/>
              </w:rPr>
            </w:pPr>
            <w:r w:rsidRPr="00137418">
              <w:rPr>
                <w:sz w:val="24"/>
                <w:szCs w:val="24"/>
              </w:rPr>
              <w:t>Circonscrire et encadrer l’option de l’aide médicale à mourir :</w:t>
            </w: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  <w:r w:rsidRPr="00137418">
              <w:rPr>
                <w:sz w:val="24"/>
                <w:szCs w:val="24"/>
              </w:rPr>
              <w:t>des critères et des balises essentiels</w:t>
            </w: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  <w:r w:rsidRPr="00137418">
              <w:rPr>
                <w:sz w:val="24"/>
                <w:szCs w:val="24"/>
              </w:rPr>
              <w:t>Qui pourrait demander une aide médicale à mourir ?</w:t>
            </w: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Seul un médecin pourrait pratiquer l’aide médicale à mourir ? Si cela va contre ses </w:t>
            </w:r>
            <w:r w:rsidR="00FF539C">
              <w:rPr>
                <w:sz w:val="24"/>
                <w:szCs w:val="24"/>
              </w:rPr>
              <w:t>valeurs,</w:t>
            </w:r>
            <w:r>
              <w:rPr>
                <w:sz w:val="24"/>
                <w:szCs w:val="24"/>
              </w:rPr>
              <w:t xml:space="preserve"> il doit informer son patient et l’aider dans la recherche d’un autre médecin</w:t>
            </w: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 formulée de manière volontaire et réfléchie</w:t>
            </w: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</w:p>
          <w:p w:rsidR="00137418" w:rsidRPr="00137418" w:rsidRDefault="00137418" w:rsidP="00137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Mécanismes de contrôle (</w:t>
            </w:r>
            <w:r w:rsidRPr="00137418">
              <w:rPr>
                <w:sz w:val="24"/>
                <w:szCs w:val="24"/>
              </w:rPr>
              <w:t>Le médecin qui juge qu’une personne demandant une aide médicale à</w:t>
            </w:r>
          </w:p>
          <w:p w:rsidR="00137418" w:rsidRPr="00D86B9E" w:rsidRDefault="00137418" w:rsidP="00137418">
            <w:pPr>
              <w:jc w:val="both"/>
              <w:rPr>
                <w:sz w:val="24"/>
                <w:szCs w:val="24"/>
              </w:rPr>
            </w:pPr>
            <w:r w:rsidRPr="00137418">
              <w:rPr>
                <w:sz w:val="24"/>
                <w:szCs w:val="24"/>
              </w:rPr>
              <w:t>mourir satisfait les critères déjà mentionnés devra obligatoirement obtenir</w:t>
            </w:r>
            <w:r>
              <w:rPr>
                <w:sz w:val="24"/>
                <w:szCs w:val="24"/>
              </w:rPr>
              <w:t xml:space="preserve"> </w:t>
            </w:r>
            <w:r w:rsidRPr="00137418">
              <w:rPr>
                <w:sz w:val="24"/>
                <w:szCs w:val="24"/>
              </w:rPr>
              <w:t xml:space="preserve">l’avis d’un second médecin. </w:t>
            </w:r>
            <w:r>
              <w:rPr>
                <w:sz w:val="24"/>
                <w:szCs w:val="24"/>
              </w:rPr>
              <w:t xml:space="preserve"> Au besoin un psychiatre devra être consulté.</w:t>
            </w:r>
          </w:p>
        </w:tc>
        <w:tc>
          <w:tcPr>
            <w:tcW w:w="4050" w:type="dxa"/>
          </w:tcPr>
          <w:p w:rsidR="005E25C9" w:rsidRDefault="005E25C9" w:rsidP="00FD1FCC">
            <w:pPr>
              <w:jc w:val="both"/>
              <w:rPr>
                <w:sz w:val="24"/>
                <w:szCs w:val="24"/>
              </w:rPr>
            </w:pPr>
          </w:p>
          <w:p w:rsidR="005E25C9" w:rsidRDefault="005E25C9" w:rsidP="00FD1FCC">
            <w:pPr>
              <w:jc w:val="both"/>
              <w:rPr>
                <w:sz w:val="24"/>
                <w:szCs w:val="24"/>
              </w:rPr>
            </w:pPr>
          </w:p>
          <w:p w:rsidR="005E25C9" w:rsidRDefault="005E25C9" w:rsidP="00FD1FCC">
            <w:pPr>
              <w:jc w:val="both"/>
              <w:rPr>
                <w:sz w:val="24"/>
                <w:szCs w:val="24"/>
              </w:rPr>
            </w:pPr>
          </w:p>
          <w:p w:rsidR="005E25C9" w:rsidRDefault="005E25C9" w:rsidP="00FD1FCC">
            <w:pPr>
              <w:jc w:val="both"/>
              <w:rPr>
                <w:sz w:val="24"/>
                <w:szCs w:val="24"/>
              </w:rPr>
            </w:pPr>
          </w:p>
          <w:p w:rsidR="005E25C9" w:rsidRPr="00D86B9E" w:rsidRDefault="005E25C9" w:rsidP="00FD1FC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60" w:type="dxa"/>
          </w:tcPr>
          <w:p w:rsidR="005E25C9" w:rsidRPr="00D86B9E" w:rsidRDefault="005E25C9" w:rsidP="00FD1FCC">
            <w:pPr>
              <w:jc w:val="both"/>
              <w:rPr>
                <w:sz w:val="24"/>
                <w:szCs w:val="24"/>
              </w:rPr>
            </w:pPr>
          </w:p>
        </w:tc>
      </w:tr>
    </w:tbl>
    <w:p w:rsidR="005E25C9" w:rsidRDefault="005E25C9">
      <w:pPr>
        <w:rPr>
          <w:sz w:val="24"/>
          <w:szCs w:val="24"/>
        </w:rPr>
      </w:pPr>
    </w:p>
    <w:p w:rsidR="005E25C9" w:rsidRDefault="005E25C9">
      <w:pPr>
        <w:rPr>
          <w:sz w:val="24"/>
          <w:szCs w:val="24"/>
        </w:rPr>
      </w:pPr>
    </w:p>
    <w:p w:rsidR="00D86B9E" w:rsidRDefault="00D86B9E" w:rsidP="006937F7">
      <w:pPr>
        <w:jc w:val="both"/>
        <w:rPr>
          <w:sz w:val="24"/>
          <w:szCs w:val="24"/>
        </w:rPr>
      </w:pPr>
    </w:p>
    <w:tbl>
      <w:tblPr>
        <w:tblStyle w:val="Grilledutableau"/>
        <w:tblW w:w="13680" w:type="dxa"/>
        <w:tblInd w:w="-162" w:type="dxa"/>
        <w:tblLook w:val="04A0"/>
      </w:tblPr>
      <w:tblGrid>
        <w:gridCol w:w="3870"/>
        <w:gridCol w:w="4050"/>
        <w:gridCol w:w="5760"/>
      </w:tblGrid>
      <w:tr w:rsidR="00B51861" w:rsidRPr="00407622" w:rsidTr="003429FE">
        <w:tc>
          <w:tcPr>
            <w:tcW w:w="13680" w:type="dxa"/>
            <w:gridSpan w:val="3"/>
          </w:tcPr>
          <w:p w:rsidR="00B51861" w:rsidRPr="00B51861" w:rsidRDefault="00B51861" w:rsidP="00B51861">
            <w:pPr>
              <w:jc w:val="center"/>
              <w:rPr>
                <w:b/>
                <w:sz w:val="24"/>
                <w:szCs w:val="24"/>
              </w:rPr>
            </w:pPr>
            <w:r w:rsidRPr="00B51861">
              <w:rPr>
                <w:b/>
                <w:sz w:val="24"/>
                <w:szCs w:val="24"/>
              </w:rPr>
              <w:t>LES DROITS, LIBERTÉS ET RESPONSABILITÉS DE LA PERSONNE EN FIN DE VIE</w:t>
            </w:r>
          </w:p>
        </w:tc>
      </w:tr>
      <w:tr w:rsidR="00B51861" w:rsidRPr="00D86B9E" w:rsidTr="00450B78">
        <w:tc>
          <w:tcPr>
            <w:tcW w:w="3870" w:type="dxa"/>
          </w:tcPr>
          <w:p w:rsidR="00B51861" w:rsidRPr="00B307CB" w:rsidRDefault="00B51861" w:rsidP="00952650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Éléments du rapport</w:t>
            </w:r>
          </w:p>
        </w:tc>
        <w:tc>
          <w:tcPr>
            <w:tcW w:w="4050" w:type="dxa"/>
          </w:tcPr>
          <w:p w:rsidR="00B51861" w:rsidRPr="00B307CB" w:rsidRDefault="00B51861" w:rsidP="00952650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Éléments de la conférence</w:t>
            </w:r>
          </w:p>
        </w:tc>
        <w:tc>
          <w:tcPr>
            <w:tcW w:w="5760" w:type="dxa"/>
          </w:tcPr>
          <w:p w:rsidR="00B51861" w:rsidRPr="00B307CB" w:rsidRDefault="00B51861" w:rsidP="00952650">
            <w:pPr>
              <w:jc w:val="center"/>
              <w:rPr>
                <w:b/>
                <w:sz w:val="24"/>
                <w:szCs w:val="24"/>
              </w:rPr>
            </w:pPr>
            <w:r w:rsidRPr="00B307CB">
              <w:rPr>
                <w:b/>
                <w:sz w:val="24"/>
                <w:szCs w:val="24"/>
              </w:rPr>
              <w:t>Questions des participants</w:t>
            </w:r>
          </w:p>
        </w:tc>
      </w:tr>
      <w:tr w:rsidR="00B51861" w:rsidRPr="00D86B9E" w:rsidTr="00450B78">
        <w:trPr>
          <w:trHeight w:val="8360"/>
        </w:trPr>
        <w:tc>
          <w:tcPr>
            <w:tcW w:w="3870" w:type="dxa"/>
          </w:tcPr>
          <w:p w:rsidR="00137418" w:rsidRPr="00A51C9C" w:rsidRDefault="00137418" w:rsidP="00137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2009-2012 - </w:t>
            </w:r>
            <w:r w:rsidRPr="00A51C9C">
              <w:rPr>
                <w:sz w:val="24"/>
                <w:szCs w:val="24"/>
              </w:rPr>
              <w:t>La Commission sur la question de mou</w:t>
            </w:r>
            <w:r>
              <w:rPr>
                <w:sz w:val="24"/>
                <w:szCs w:val="24"/>
              </w:rPr>
              <w:t xml:space="preserve">rir dans la dignité </w:t>
            </w:r>
          </w:p>
          <w:p w:rsidR="00137418" w:rsidRPr="00A51C9C" w:rsidRDefault="00137418" w:rsidP="00137418">
            <w:pPr>
              <w:jc w:val="both"/>
              <w:rPr>
                <w:sz w:val="24"/>
                <w:szCs w:val="24"/>
              </w:rPr>
            </w:pPr>
          </w:p>
          <w:p w:rsidR="00137418" w:rsidRPr="00A51C9C" w:rsidRDefault="00137418" w:rsidP="00137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Juin 2014 - </w:t>
            </w:r>
            <w:r w:rsidRPr="00A51C9C">
              <w:rPr>
                <w:sz w:val="24"/>
                <w:szCs w:val="24"/>
              </w:rPr>
              <w:t xml:space="preserve">La Loi québécoise sur les </w:t>
            </w:r>
            <w:r>
              <w:rPr>
                <w:sz w:val="24"/>
                <w:szCs w:val="24"/>
              </w:rPr>
              <w:t xml:space="preserve">soins de fin de vie </w:t>
            </w:r>
          </w:p>
          <w:p w:rsidR="00137418" w:rsidRPr="00A51C9C" w:rsidRDefault="00137418" w:rsidP="00137418">
            <w:pPr>
              <w:jc w:val="both"/>
              <w:rPr>
                <w:sz w:val="24"/>
                <w:szCs w:val="24"/>
              </w:rPr>
            </w:pPr>
          </w:p>
          <w:p w:rsidR="00137418" w:rsidRPr="00A51C9C" w:rsidRDefault="00137418" w:rsidP="00137418">
            <w:pPr>
              <w:jc w:val="both"/>
              <w:rPr>
                <w:sz w:val="24"/>
                <w:szCs w:val="24"/>
              </w:rPr>
            </w:pPr>
            <w:r w:rsidRPr="00A51C9C">
              <w:rPr>
                <w:sz w:val="24"/>
                <w:szCs w:val="24"/>
              </w:rPr>
              <w:t>Février 2015</w:t>
            </w:r>
            <w:r>
              <w:rPr>
                <w:sz w:val="24"/>
                <w:szCs w:val="24"/>
              </w:rPr>
              <w:t xml:space="preserve"> - </w:t>
            </w:r>
            <w:r w:rsidRPr="00A51C9C">
              <w:rPr>
                <w:sz w:val="24"/>
                <w:szCs w:val="24"/>
              </w:rPr>
              <w:t>Le Jugement unanime de la C</w:t>
            </w:r>
            <w:r>
              <w:rPr>
                <w:sz w:val="24"/>
                <w:szCs w:val="24"/>
              </w:rPr>
              <w:t>SC sur Aide médicale à mourir</w:t>
            </w:r>
          </w:p>
          <w:p w:rsidR="00137418" w:rsidRPr="00A51C9C" w:rsidRDefault="00137418" w:rsidP="00137418">
            <w:pPr>
              <w:jc w:val="both"/>
              <w:rPr>
                <w:sz w:val="24"/>
                <w:szCs w:val="24"/>
              </w:rPr>
            </w:pPr>
          </w:p>
          <w:p w:rsidR="00137418" w:rsidRPr="00A51C9C" w:rsidRDefault="00137418" w:rsidP="00137418">
            <w:pPr>
              <w:jc w:val="both"/>
              <w:rPr>
                <w:sz w:val="24"/>
                <w:szCs w:val="24"/>
              </w:rPr>
            </w:pPr>
            <w:r w:rsidRPr="00A51C9C">
              <w:rPr>
                <w:sz w:val="24"/>
                <w:szCs w:val="24"/>
              </w:rPr>
              <w:t>Décembre 2015</w:t>
            </w:r>
            <w:r>
              <w:rPr>
                <w:sz w:val="24"/>
                <w:szCs w:val="24"/>
              </w:rPr>
              <w:t xml:space="preserve"> - </w:t>
            </w:r>
            <w:r w:rsidRPr="00A51C9C">
              <w:rPr>
                <w:sz w:val="24"/>
                <w:szCs w:val="24"/>
              </w:rPr>
              <w:t xml:space="preserve">Début de la mise en application de la loi québécois </w:t>
            </w:r>
          </w:p>
          <w:p w:rsidR="00137418" w:rsidRPr="00A51C9C" w:rsidRDefault="00137418" w:rsidP="00137418">
            <w:pPr>
              <w:jc w:val="both"/>
              <w:rPr>
                <w:sz w:val="24"/>
                <w:szCs w:val="24"/>
              </w:rPr>
            </w:pP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A51C9C">
              <w:rPr>
                <w:sz w:val="24"/>
                <w:szCs w:val="24"/>
              </w:rPr>
              <w:t>uin 2016</w:t>
            </w:r>
            <w:r>
              <w:rPr>
                <w:sz w:val="24"/>
                <w:szCs w:val="24"/>
              </w:rPr>
              <w:t xml:space="preserve"> - </w:t>
            </w:r>
            <w:r w:rsidRPr="00A51C9C">
              <w:rPr>
                <w:sz w:val="24"/>
                <w:szCs w:val="24"/>
              </w:rPr>
              <w:t>La loi fédéral</w:t>
            </w:r>
            <w:r>
              <w:rPr>
                <w:sz w:val="24"/>
                <w:szCs w:val="24"/>
              </w:rPr>
              <w:t>e sur l’aide médicale à mourir</w:t>
            </w:r>
          </w:p>
          <w:p w:rsidR="00137418" w:rsidRPr="00A51C9C" w:rsidRDefault="00137418" w:rsidP="00137418">
            <w:pPr>
              <w:jc w:val="both"/>
              <w:rPr>
                <w:sz w:val="24"/>
                <w:szCs w:val="24"/>
              </w:rPr>
            </w:pPr>
          </w:p>
          <w:p w:rsidR="00137418" w:rsidRDefault="00137418" w:rsidP="00137418">
            <w:pPr>
              <w:jc w:val="both"/>
              <w:rPr>
                <w:sz w:val="24"/>
                <w:szCs w:val="24"/>
              </w:rPr>
            </w:pPr>
            <w:r w:rsidRPr="00A51C9C">
              <w:rPr>
                <w:sz w:val="24"/>
                <w:szCs w:val="24"/>
              </w:rPr>
              <w:t>La Commission permanente sur les soins de fin de vie</w:t>
            </w:r>
          </w:p>
          <w:p w:rsidR="00B51861" w:rsidRPr="00D86B9E" w:rsidRDefault="00B51861" w:rsidP="00693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B51861" w:rsidRPr="00A51C9C" w:rsidRDefault="00B51861" w:rsidP="00A51C9C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A51C9C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A51C9C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A51C9C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A51C9C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A51C9C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A51C9C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A51C9C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A51C9C">
            <w:pPr>
              <w:jc w:val="both"/>
              <w:rPr>
                <w:sz w:val="24"/>
                <w:szCs w:val="24"/>
              </w:rPr>
            </w:pPr>
          </w:p>
          <w:p w:rsidR="00B51861" w:rsidRDefault="00B51861" w:rsidP="00A51C9C">
            <w:pPr>
              <w:jc w:val="both"/>
              <w:rPr>
                <w:sz w:val="24"/>
                <w:szCs w:val="24"/>
              </w:rPr>
            </w:pPr>
          </w:p>
          <w:p w:rsidR="005E25C9" w:rsidRDefault="005E25C9" w:rsidP="00A51C9C">
            <w:pPr>
              <w:jc w:val="both"/>
              <w:rPr>
                <w:sz w:val="24"/>
                <w:szCs w:val="24"/>
              </w:rPr>
            </w:pPr>
          </w:p>
          <w:p w:rsidR="005E25C9" w:rsidRDefault="005E25C9" w:rsidP="00A51C9C">
            <w:pPr>
              <w:jc w:val="both"/>
              <w:rPr>
                <w:sz w:val="24"/>
                <w:szCs w:val="24"/>
              </w:rPr>
            </w:pPr>
          </w:p>
          <w:p w:rsidR="00B51861" w:rsidRPr="00D86B9E" w:rsidRDefault="00B51861" w:rsidP="00A51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B51861" w:rsidRPr="00D86B9E" w:rsidRDefault="00B51861" w:rsidP="006937F7">
            <w:pPr>
              <w:jc w:val="both"/>
              <w:rPr>
                <w:sz w:val="24"/>
                <w:szCs w:val="24"/>
              </w:rPr>
            </w:pPr>
          </w:p>
        </w:tc>
      </w:tr>
    </w:tbl>
    <w:p w:rsidR="005E25C9" w:rsidRPr="00B307CB" w:rsidRDefault="005E25C9" w:rsidP="00450B78">
      <w:pPr>
        <w:jc w:val="both"/>
        <w:rPr>
          <w:sz w:val="24"/>
          <w:szCs w:val="24"/>
        </w:rPr>
      </w:pPr>
    </w:p>
    <w:sectPr w:rsidR="005E25C9" w:rsidRPr="00B307CB" w:rsidSect="00A51C9C">
      <w:pgSz w:w="15840" w:h="12240" w:orient="landscape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A1" w:rsidRDefault="00A958A1" w:rsidP="00A51C9C">
      <w:r>
        <w:separator/>
      </w:r>
    </w:p>
  </w:endnote>
  <w:endnote w:type="continuationSeparator" w:id="0">
    <w:p w:rsidR="00A958A1" w:rsidRDefault="00A958A1" w:rsidP="00A5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A1" w:rsidRDefault="00A958A1" w:rsidP="00A51C9C">
      <w:r>
        <w:separator/>
      </w:r>
    </w:p>
  </w:footnote>
  <w:footnote w:type="continuationSeparator" w:id="0">
    <w:p w:rsidR="00A958A1" w:rsidRDefault="00A958A1" w:rsidP="00A51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68E"/>
    <w:multiLevelType w:val="hybridMultilevel"/>
    <w:tmpl w:val="9C9EFA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B7DE7"/>
    <w:multiLevelType w:val="hybridMultilevel"/>
    <w:tmpl w:val="900A49B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F274E4"/>
    <w:multiLevelType w:val="hybridMultilevel"/>
    <w:tmpl w:val="2D9E4A5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9E0837"/>
    <w:multiLevelType w:val="hybridMultilevel"/>
    <w:tmpl w:val="975E78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87AA4"/>
    <w:multiLevelType w:val="hybridMultilevel"/>
    <w:tmpl w:val="5D90C3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C05F52"/>
    <w:multiLevelType w:val="hybridMultilevel"/>
    <w:tmpl w:val="2EB8B79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E15BBC"/>
    <w:multiLevelType w:val="hybridMultilevel"/>
    <w:tmpl w:val="F5D6BBE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053A"/>
    <w:rsid w:val="000D439D"/>
    <w:rsid w:val="00137418"/>
    <w:rsid w:val="002D00A8"/>
    <w:rsid w:val="00407622"/>
    <w:rsid w:val="00450B78"/>
    <w:rsid w:val="00493CE5"/>
    <w:rsid w:val="005E25C9"/>
    <w:rsid w:val="006937F7"/>
    <w:rsid w:val="007802E4"/>
    <w:rsid w:val="00800128"/>
    <w:rsid w:val="00A216FB"/>
    <w:rsid w:val="00A51C9C"/>
    <w:rsid w:val="00A958A1"/>
    <w:rsid w:val="00B307CB"/>
    <w:rsid w:val="00B51861"/>
    <w:rsid w:val="00BA6AE9"/>
    <w:rsid w:val="00C248EE"/>
    <w:rsid w:val="00CC759B"/>
    <w:rsid w:val="00D86B9E"/>
    <w:rsid w:val="00D936EE"/>
    <w:rsid w:val="00D96074"/>
    <w:rsid w:val="00ED700C"/>
    <w:rsid w:val="00F9053A"/>
    <w:rsid w:val="00FF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6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93C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1C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C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1C9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51C9C"/>
  </w:style>
  <w:style w:type="paragraph" w:styleId="Pieddepage">
    <w:name w:val="footer"/>
    <w:basedOn w:val="Normal"/>
    <w:link w:val="PieddepageCar"/>
    <w:uiPriority w:val="99"/>
    <w:unhideWhenUsed/>
    <w:rsid w:val="00A51C9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3C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1C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C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1C9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51C9C"/>
  </w:style>
  <w:style w:type="paragraph" w:styleId="Pieddepage">
    <w:name w:val="footer"/>
    <w:basedOn w:val="Normal"/>
    <w:link w:val="PieddepageCar"/>
    <w:uiPriority w:val="99"/>
    <w:unhideWhenUsed/>
    <w:rsid w:val="00A51C9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Boulanger</dc:creator>
  <cp:lastModifiedBy>Marc-André Roberge</cp:lastModifiedBy>
  <cp:revision>2</cp:revision>
  <dcterms:created xsi:type="dcterms:W3CDTF">2017-02-15T21:12:00Z</dcterms:created>
  <dcterms:modified xsi:type="dcterms:W3CDTF">2017-02-15T21:12:00Z</dcterms:modified>
</cp:coreProperties>
</file>